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FFADF" w14:textId="77777777" w:rsidR="00430687" w:rsidRPr="009E466A" w:rsidRDefault="00430687" w:rsidP="00430687">
      <w:pPr>
        <w:spacing w:after="200"/>
        <w:rPr>
          <w:b/>
          <w:bCs/>
        </w:rPr>
      </w:pPr>
      <w:r w:rsidRPr="009E466A">
        <w:rPr>
          <w:b/>
          <w:bCs/>
        </w:rPr>
        <w:t>Conference Announcement – Call for Presentations and Registration Open</w:t>
      </w:r>
    </w:p>
    <w:p w14:paraId="0087FDE7" w14:textId="77777777" w:rsidR="000F03C5" w:rsidRPr="00C93851" w:rsidRDefault="00430687" w:rsidP="000F03C5">
      <w:pPr>
        <w:spacing w:after="200"/>
        <w:rPr>
          <w:sz w:val="23"/>
          <w:szCs w:val="23"/>
        </w:rPr>
      </w:pPr>
      <w:r w:rsidRPr="00C93851">
        <w:rPr>
          <w:sz w:val="23"/>
          <w:szCs w:val="23"/>
        </w:rPr>
        <w:t xml:space="preserve">The </w:t>
      </w:r>
      <w:r w:rsidRPr="00C93851">
        <w:rPr>
          <w:i/>
          <w:sz w:val="23"/>
          <w:szCs w:val="23"/>
        </w:rPr>
        <w:t>Building Community Resilience: Innovation, Culture, and Governance in Place</w:t>
      </w:r>
      <w:r w:rsidRPr="00C93851">
        <w:rPr>
          <w:sz w:val="23"/>
          <w:szCs w:val="23"/>
        </w:rPr>
        <w:t xml:space="preserve"> conference will take place from September 16-19, 2015 in </w:t>
      </w:r>
      <w:proofErr w:type="spellStart"/>
      <w:r w:rsidRPr="00C93851">
        <w:rPr>
          <w:sz w:val="23"/>
          <w:szCs w:val="23"/>
        </w:rPr>
        <w:t>Summerside</w:t>
      </w:r>
      <w:proofErr w:type="spellEnd"/>
      <w:r w:rsidRPr="00C93851">
        <w:rPr>
          <w:sz w:val="23"/>
          <w:szCs w:val="23"/>
        </w:rPr>
        <w:t>, Prince Edward Island</w:t>
      </w:r>
      <w:r w:rsidR="00501876" w:rsidRPr="00C93851">
        <w:rPr>
          <w:sz w:val="23"/>
          <w:szCs w:val="23"/>
        </w:rPr>
        <w:t xml:space="preserve"> (</w:t>
      </w:r>
      <w:hyperlink r:id="rId7" w:history="1">
        <w:r w:rsidR="00501876" w:rsidRPr="00C93851">
          <w:rPr>
            <w:rStyle w:val="Hyperlink"/>
            <w:sz w:val="23"/>
            <w:szCs w:val="23"/>
          </w:rPr>
          <w:t>www.pei2015.crrf.ca</w:t>
        </w:r>
      </w:hyperlink>
      <w:r w:rsidR="00501876" w:rsidRPr="00C93851">
        <w:rPr>
          <w:sz w:val="23"/>
          <w:szCs w:val="23"/>
        </w:rPr>
        <w:t>)</w:t>
      </w:r>
      <w:r w:rsidRPr="00C93851">
        <w:rPr>
          <w:sz w:val="23"/>
          <w:szCs w:val="23"/>
        </w:rPr>
        <w:t xml:space="preserve">. </w:t>
      </w:r>
      <w:r w:rsidR="000F03C5" w:rsidRPr="00C93851">
        <w:rPr>
          <w:sz w:val="23"/>
          <w:szCs w:val="23"/>
        </w:rPr>
        <w:t xml:space="preserve">The </w:t>
      </w:r>
      <w:r w:rsidR="000F03C5" w:rsidRPr="00C93851">
        <w:rPr>
          <w:i/>
          <w:sz w:val="23"/>
          <w:szCs w:val="23"/>
        </w:rPr>
        <w:t>Building Community Resilience</w:t>
      </w:r>
      <w:r w:rsidR="000F03C5" w:rsidRPr="00C93851">
        <w:rPr>
          <w:sz w:val="23"/>
          <w:szCs w:val="23"/>
        </w:rPr>
        <w:t xml:space="preserve"> Conference will bring together community leaders, voluntary organizations, governments, businesses, and researchers to highlight people, organizations, and communities who are doing innovative things based on good governance, economic development, environmental considerations, and culture. These activities are critical to creating and sustaining healthy and resilient communities.</w:t>
      </w:r>
    </w:p>
    <w:p w14:paraId="7C2445EE" w14:textId="62E694F9" w:rsidR="008C734F" w:rsidRPr="00C93851" w:rsidRDefault="008C734F" w:rsidP="00430687">
      <w:pPr>
        <w:spacing w:after="200"/>
        <w:rPr>
          <w:sz w:val="23"/>
          <w:szCs w:val="23"/>
        </w:rPr>
      </w:pPr>
      <w:r w:rsidRPr="00C93851">
        <w:rPr>
          <w:sz w:val="23"/>
          <w:szCs w:val="23"/>
        </w:rPr>
        <w:t xml:space="preserve">Conference organizers welcome submissions from community organizations, community leaders, </w:t>
      </w:r>
      <w:proofErr w:type="spellStart"/>
      <w:r w:rsidRPr="00C93851">
        <w:rPr>
          <w:sz w:val="23"/>
          <w:szCs w:val="23"/>
        </w:rPr>
        <w:t>nonprofit</w:t>
      </w:r>
      <w:proofErr w:type="spellEnd"/>
      <w:r w:rsidRPr="00C93851">
        <w:rPr>
          <w:sz w:val="23"/>
          <w:szCs w:val="23"/>
        </w:rPr>
        <w:t xml:space="preserve"> organizations, government, students, researchers, and businesses to share information on the topic of building resilient communities or regions. The conference will examine opportunities for sustainable living that are more likely to emerge from small and peripheral communities – rural, coastal or island. The deadline for the call for presentations and stories is </w:t>
      </w:r>
      <w:r w:rsidRPr="00C93851">
        <w:rPr>
          <w:b/>
          <w:sz w:val="23"/>
          <w:szCs w:val="23"/>
        </w:rPr>
        <w:t xml:space="preserve">April </w:t>
      </w:r>
      <w:r w:rsidR="003262D7">
        <w:rPr>
          <w:b/>
          <w:sz w:val="23"/>
          <w:szCs w:val="23"/>
        </w:rPr>
        <w:t>15</w:t>
      </w:r>
      <w:bookmarkStart w:id="0" w:name="_GoBack"/>
      <w:bookmarkEnd w:id="0"/>
      <w:r w:rsidRPr="00C93851">
        <w:rPr>
          <w:sz w:val="23"/>
          <w:szCs w:val="23"/>
        </w:rPr>
        <w:t xml:space="preserve">. Further details on the call for presentation can be found at </w:t>
      </w:r>
      <w:hyperlink r:id="rId8" w:history="1">
        <w:r w:rsidR="000F03C5" w:rsidRPr="00C93851">
          <w:rPr>
            <w:rStyle w:val="Hyperlink"/>
            <w:sz w:val="23"/>
            <w:szCs w:val="23"/>
          </w:rPr>
          <w:t>www.pei2015.crrf.ca/call-for-ppt/</w:t>
        </w:r>
      </w:hyperlink>
      <w:r w:rsidR="000F03C5" w:rsidRPr="00C93851">
        <w:rPr>
          <w:sz w:val="23"/>
          <w:szCs w:val="23"/>
        </w:rPr>
        <w:t xml:space="preserve">. </w:t>
      </w:r>
    </w:p>
    <w:p w14:paraId="685916B0" w14:textId="746C4275" w:rsidR="00B64FE1" w:rsidRPr="00C93851" w:rsidRDefault="00430687" w:rsidP="00716095">
      <w:pPr>
        <w:spacing w:after="200"/>
        <w:rPr>
          <w:sz w:val="23"/>
          <w:szCs w:val="23"/>
        </w:rPr>
      </w:pPr>
      <w:r w:rsidRPr="00C93851">
        <w:rPr>
          <w:sz w:val="23"/>
          <w:szCs w:val="23"/>
        </w:rPr>
        <w:t xml:space="preserve">The conference will be co-hosted by the Canadian Rural Revitalization Foundation, Institute of Island Studies at the University of Prince Edward Island, and the North Atlantic Forum. </w:t>
      </w:r>
      <w:r w:rsidR="000F03C5" w:rsidRPr="00C93851">
        <w:rPr>
          <w:sz w:val="23"/>
          <w:szCs w:val="23"/>
        </w:rPr>
        <w:t>Conference registration is now open</w:t>
      </w:r>
      <w:r w:rsidR="00501876" w:rsidRPr="00C93851">
        <w:rPr>
          <w:sz w:val="23"/>
          <w:szCs w:val="23"/>
        </w:rPr>
        <w:t xml:space="preserve"> – register before June 30, 2015 to take advantage of the early bird registration rate!</w:t>
      </w:r>
      <w:r w:rsidRPr="00C93851">
        <w:rPr>
          <w:sz w:val="23"/>
          <w:szCs w:val="23"/>
        </w:rPr>
        <w:t xml:space="preserve"> </w:t>
      </w:r>
    </w:p>
    <w:p w14:paraId="1C95BFC4" w14:textId="6FAD4AE4" w:rsidR="00B64FE1" w:rsidRDefault="00716095" w:rsidP="00430687">
      <w:pPr>
        <w:spacing w:after="200"/>
        <w:rPr>
          <w:b/>
          <w:lang w:val="fr-CA"/>
        </w:rPr>
      </w:pPr>
      <w:r>
        <w:rPr>
          <w:b/>
          <w:lang w:val="fr-CA"/>
        </w:rPr>
        <w:br w:type="column"/>
      </w:r>
      <w:r w:rsidR="00B64FE1" w:rsidRPr="00B64FE1">
        <w:rPr>
          <w:b/>
          <w:lang w:val="fr-CA"/>
        </w:rPr>
        <w:lastRenderedPageBreak/>
        <w:t>Annonce de c</w:t>
      </w:r>
      <w:r w:rsidR="00EA1CAB">
        <w:rPr>
          <w:b/>
          <w:lang w:val="fr-CA"/>
        </w:rPr>
        <w:t xml:space="preserve">onférence – </w:t>
      </w:r>
      <w:r w:rsidR="00A67415">
        <w:rPr>
          <w:b/>
          <w:lang w:val="fr-CA"/>
        </w:rPr>
        <w:t>L’a</w:t>
      </w:r>
      <w:r w:rsidR="00EA1CAB">
        <w:rPr>
          <w:b/>
          <w:lang w:val="fr-CA"/>
        </w:rPr>
        <w:t>ppel de</w:t>
      </w:r>
      <w:r w:rsidR="00210245">
        <w:rPr>
          <w:b/>
          <w:lang w:val="fr-CA"/>
        </w:rPr>
        <w:t xml:space="preserve"> présentations et</w:t>
      </w:r>
      <w:r w:rsidR="00A67415">
        <w:rPr>
          <w:b/>
          <w:lang w:val="fr-CA"/>
        </w:rPr>
        <w:t xml:space="preserve"> les</w:t>
      </w:r>
      <w:r w:rsidR="00210245">
        <w:rPr>
          <w:b/>
          <w:lang w:val="fr-CA"/>
        </w:rPr>
        <w:t xml:space="preserve"> inscriptions</w:t>
      </w:r>
      <w:r w:rsidR="00EA1CAB">
        <w:rPr>
          <w:b/>
          <w:lang w:val="fr-CA"/>
        </w:rPr>
        <w:t xml:space="preserve"> sont ouverts </w:t>
      </w:r>
    </w:p>
    <w:p w14:paraId="577A4850" w14:textId="6B23125B" w:rsidR="00210245" w:rsidRPr="00C93851" w:rsidRDefault="00BF6A34" w:rsidP="00430687">
      <w:pPr>
        <w:spacing w:after="200"/>
        <w:rPr>
          <w:sz w:val="23"/>
          <w:szCs w:val="23"/>
          <w:lang w:val="fr-CA"/>
        </w:rPr>
      </w:pPr>
      <w:r w:rsidRPr="00C93851">
        <w:rPr>
          <w:sz w:val="23"/>
          <w:szCs w:val="23"/>
          <w:lang w:val="fr-CA"/>
        </w:rPr>
        <w:t xml:space="preserve">Le </w:t>
      </w:r>
      <w:r w:rsidRPr="00C93851">
        <w:rPr>
          <w:i/>
          <w:sz w:val="23"/>
          <w:szCs w:val="23"/>
          <w:lang w:val="fr-CA"/>
        </w:rPr>
        <w:t>Développement de la résilience communautaire</w:t>
      </w:r>
      <w:r w:rsidR="00A67415" w:rsidRPr="00C93851">
        <w:rPr>
          <w:i/>
          <w:sz w:val="23"/>
          <w:szCs w:val="23"/>
          <w:lang w:val="fr-CA"/>
        </w:rPr>
        <w:t xml:space="preserve"> : l’innovation, la culture et la gouvernance </w:t>
      </w:r>
      <w:r w:rsidR="00D14732" w:rsidRPr="00C93851">
        <w:rPr>
          <w:i/>
          <w:sz w:val="23"/>
          <w:szCs w:val="23"/>
          <w:lang w:val="fr-CA"/>
        </w:rPr>
        <w:t xml:space="preserve">en </w:t>
      </w:r>
      <w:r w:rsidR="00A67415" w:rsidRPr="00C93851">
        <w:rPr>
          <w:i/>
          <w:sz w:val="23"/>
          <w:szCs w:val="23"/>
          <w:lang w:val="fr-CA"/>
        </w:rPr>
        <w:t xml:space="preserve">place </w:t>
      </w:r>
      <w:r w:rsidR="00AD5061" w:rsidRPr="00C93851">
        <w:rPr>
          <w:sz w:val="23"/>
          <w:szCs w:val="23"/>
          <w:lang w:val="fr-CA"/>
        </w:rPr>
        <w:t>aura lieu du 16 au 19 septembre</w:t>
      </w:r>
      <w:r w:rsidR="00A67415" w:rsidRPr="00C93851">
        <w:rPr>
          <w:sz w:val="23"/>
          <w:szCs w:val="23"/>
          <w:lang w:val="fr-CA"/>
        </w:rPr>
        <w:t xml:space="preserve"> 2015 à Summerside en Île-du-Prince-Édouard (</w:t>
      </w:r>
      <w:hyperlink r:id="rId9" w:history="1">
        <w:r w:rsidR="00A67415" w:rsidRPr="00C93851">
          <w:rPr>
            <w:rStyle w:val="Hyperlink"/>
            <w:sz w:val="23"/>
            <w:szCs w:val="23"/>
            <w:lang w:val="fr-CA"/>
          </w:rPr>
          <w:t>www.pei2015.crrf.ca</w:t>
        </w:r>
      </w:hyperlink>
      <w:r w:rsidR="00A67415" w:rsidRPr="00C93851">
        <w:rPr>
          <w:sz w:val="23"/>
          <w:szCs w:val="23"/>
          <w:lang w:val="fr-CA"/>
        </w:rPr>
        <w:t>).</w:t>
      </w:r>
      <w:r w:rsidR="00C6729E" w:rsidRPr="00C93851">
        <w:rPr>
          <w:sz w:val="23"/>
          <w:szCs w:val="23"/>
          <w:lang w:val="fr-CA"/>
        </w:rPr>
        <w:t xml:space="preserve"> La conférence du </w:t>
      </w:r>
      <w:r w:rsidR="00C6729E" w:rsidRPr="00C93851">
        <w:rPr>
          <w:i/>
          <w:sz w:val="23"/>
          <w:szCs w:val="23"/>
          <w:lang w:val="fr-CA"/>
        </w:rPr>
        <w:t>Développement de la résilience communautaire </w:t>
      </w:r>
      <w:r w:rsidR="005F55DD" w:rsidRPr="00C93851">
        <w:rPr>
          <w:sz w:val="23"/>
          <w:szCs w:val="23"/>
          <w:lang w:val="fr-CA"/>
        </w:rPr>
        <w:t>va rassembler des dirigeants communautaires, des organismes bénévoles, des gouvernements, des entreprises, ainsi que des chercheurs qui souligneront des gens</w:t>
      </w:r>
      <w:r w:rsidR="002735E9" w:rsidRPr="00C93851">
        <w:rPr>
          <w:sz w:val="23"/>
          <w:szCs w:val="23"/>
          <w:lang w:val="fr-CA"/>
        </w:rPr>
        <w:t xml:space="preserve"> et </w:t>
      </w:r>
      <w:r w:rsidR="005F55DD" w:rsidRPr="00C93851">
        <w:rPr>
          <w:sz w:val="23"/>
          <w:szCs w:val="23"/>
          <w:lang w:val="fr-CA"/>
        </w:rPr>
        <w:t>des organismes</w:t>
      </w:r>
      <w:r w:rsidR="002735E9" w:rsidRPr="00C93851">
        <w:rPr>
          <w:sz w:val="23"/>
          <w:szCs w:val="23"/>
          <w:lang w:val="fr-CA"/>
        </w:rPr>
        <w:t xml:space="preserve">. </w:t>
      </w:r>
      <w:r w:rsidR="009940C5" w:rsidRPr="00C93851">
        <w:rPr>
          <w:sz w:val="23"/>
          <w:szCs w:val="23"/>
          <w:lang w:val="fr-CA"/>
        </w:rPr>
        <w:t xml:space="preserve">La conférence </w:t>
      </w:r>
      <w:r w:rsidR="002735E9" w:rsidRPr="00C93851">
        <w:rPr>
          <w:sz w:val="23"/>
          <w:szCs w:val="23"/>
          <w:lang w:val="fr-CA"/>
        </w:rPr>
        <w:t xml:space="preserve">aura aussi des communautés qui font de l’innovation basé sur la bonne gouvernance, le développement économique, la considération environnementale et la culture. </w:t>
      </w:r>
      <w:r w:rsidR="00C73020" w:rsidRPr="00C93851">
        <w:rPr>
          <w:sz w:val="23"/>
          <w:szCs w:val="23"/>
          <w:lang w:val="fr-CA"/>
        </w:rPr>
        <w:t xml:space="preserve">Ces activités sont </w:t>
      </w:r>
      <w:r w:rsidR="005723EC" w:rsidRPr="00C93851">
        <w:rPr>
          <w:sz w:val="23"/>
          <w:szCs w:val="23"/>
          <w:lang w:val="fr-CA"/>
        </w:rPr>
        <w:t>essentielles</w:t>
      </w:r>
      <w:r w:rsidR="00C73020" w:rsidRPr="00C93851">
        <w:rPr>
          <w:sz w:val="23"/>
          <w:szCs w:val="23"/>
          <w:lang w:val="fr-CA"/>
        </w:rPr>
        <w:t xml:space="preserve"> pour créer et maintenir une communauté sa</w:t>
      </w:r>
      <w:r w:rsidR="005723EC" w:rsidRPr="00C93851">
        <w:rPr>
          <w:sz w:val="23"/>
          <w:szCs w:val="23"/>
          <w:lang w:val="fr-CA"/>
        </w:rPr>
        <w:t xml:space="preserve">ine et solide. </w:t>
      </w:r>
    </w:p>
    <w:p w14:paraId="567AFFDD" w14:textId="082A0235" w:rsidR="00EA1CAB" w:rsidRPr="00C93851" w:rsidRDefault="006E4D55" w:rsidP="00430687">
      <w:pPr>
        <w:spacing w:after="200"/>
        <w:rPr>
          <w:rStyle w:val="Hyperlink"/>
          <w:sz w:val="23"/>
          <w:szCs w:val="23"/>
          <w:lang w:val="fr-CA"/>
        </w:rPr>
      </w:pPr>
      <w:r w:rsidRPr="00C93851">
        <w:rPr>
          <w:sz w:val="23"/>
          <w:szCs w:val="23"/>
          <w:lang w:val="fr-CA"/>
        </w:rPr>
        <w:t xml:space="preserve">Les organisateurs de la conférence acceptent heureusement les </w:t>
      </w:r>
      <w:r w:rsidR="006F3417" w:rsidRPr="00C93851">
        <w:rPr>
          <w:sz w:val="23"/>
          <w:szCs w:val="23"/>
          <w:lang w:val="fr-CA"/>
        </w:rPr>
        <w:t>soumissions venant des organismes communautaires, des organismes à but non lucratif, des gouvernements, des étudiants, des chercheurs, et des entreprises pour propager l’information qui a rapport au développement des communautés saine</w:t>
      </w:r>
      <w:r w:rsidR="00E675D4" w:rsidRPr="00C93851">
        <w:rPr>
          <w:sz w:val="23"/>
          <w:szCs w:val="23"/>
          <w:lang w:val="fr-CA"/>
        </w:rPr>
        <w:t>s</w:t>
      </w:r>
      <w:r w:rsidR="006F3417" w:rsidRPr="00C93851">
        <w:rPr>
          <w:sz w:val="23"/>
          <w:szCs w:val="23"/>
          <w:lang w:val="fr-CA"/>
        </w:rPr>
        <w:t xml:space="preserve"> et solide</w:t>
      </w:r>
      <w:r w:rsidR="00E675D4" w:rsidRPr="00C93851">
        <w:rPr>
          <w:sz w:val="23"/>
          <w:szCs w:val="23"/>
          <w:lang w:val="fr-CA"/>
        </w:rPr>
        <w:t>s</w:t>
      </w:r>
      <w:r w:rsidR="006F3417" w:rsidRPr="00C93851">
        <w:rPr>
          <w:sz w:val="23"/>
          <w:szCs w:val="23"/>
          <w:lang w:val="fr-CA"/>
        </w:rPr>
        <w:t xml:space="preserve">. </w:t>
      </w:r>
      <w:r w:rsidR="000C5923" w:rsidRPr="00C93851">
        <w:rPr>
          <w:sz w:val="23"/>
          <w:szCs w:val="23"/>
          <w:lang w:val="fr-CA"/>
        </w:rPr>
        <w:t xml:space="preserve">La conférence examinera les opportunités de subsistance durable qui sont plus probables à être des petites communautés rurales, côtière ou sur une </w:t>
      </w:r>
      <w:r w:rsidR="0024497C" w:rsidRPr="00C93851">
        <w:rPr>
          <w:sz w:val="23"/>
          <w:szCs w:val="23"/>
          <w:lang w:val="fr-CA"/>
        </w:rPr>
        <w:t>î</w:t>
      </w:r>
      <w:r w:rsidR="000C5923" w:rsidRPr="00C93851">
        <w:rPr>
          <w:sz w:val="23"/>
          <w:szCs w:val="23"/>
          <w:lang w:val="fr-CA"/>
        </w:rPr>
        <w:t xml:space="preserve">le. </w:t>
      </w:r>
      <w:r w:rsidR="004965B8" w:rsidRPr="00C93851">
        <w:rPr>
          <w:sz w:val="23"/>
          <w:szCs w:val="23"/>
          <w:lang w:val="fr-CA"/>
        </w:rPr>
        <w:t>La date limite pour l’appel de présentations</w:t>
      </w:r>
      <w:r w:rsidR="00F504B4" w:rsidRPr="00C93851">
        <w:rPr>
          <w:sz w:val="23"/>
          <w:szCs w:val="23"/>
          <w:lang w:val="fr-CA"/>
        </w:rPr>
        <w:t xml:space="preserve"> et </w:t>
      </w:r>
      <w:r w:rsidR="009940C5" w:rsidRPr="00C93851">
        <w:rPr>
          <w:sz w:val="23"/>
          <w:szCs w:val="23"/>
          <w:lang w:val="fr-CA"/>
        </w:rPr>
        <w:t xml:space="preserve">des </w:t>
      </w:r>
      <w:r w:rsidR="00F504B4" w:rsidRPr="00C93851">
        <w:rPr>
          <w:sz w:val="23"/>
          <w:szCs w:val="23"/>
          <w:lang w:val="fr-CA"/>
        </w:rPr>
        <w:t xml:space="preserve">histoires est le </w:t>
      </w:r>
      <w:r w:rsidR="009E466A" w:rsidRPr="00C93851">
        <w:rPr>
          <w:b/>
          <w:sz w:val="23"/>
          <w:szCs w:val="23"/>
          <w:lang w:val="fr-CA"/>
        </w:rPr>
        <w:t>15</w:t>
      </w:r>
      <w:r w:rsidR="00F504B4" w:rsidRPr="00C93851">
        <w:rPr>
          <w:b/>
          <w:sz w:val="23"/>
          <w:szCs w:val="23"/>
          <w:lang w:val="fr-CA"/>
        </w:rPr>
        <w:t xml:space="preserve"> avril</w:t>
      </w:r>
      <w:r w:rsidR="00F504B4" w:rsidRPr="00C93851">
        <w:rPr>
          <w:sz w:val="23"/>
          <w:szCs w:val="23"/>
          <w:lang w:val="fr-CA"/>
        </w:rPr>
        <w:t>.</w:t>
      </w:r>
      <w:r w:rsidR="00B8142F" w:rsidRPr="00C93851">
        <w:rPr>
          <w:sz w:val="23"/>
          <w:szCs w:val="23"/>
          <w:lang w:val="fr-CA"/>
        </w:rPr>
        <w:t xml:space="preserve"> Pour plus de renseignements sur l’appel de présentations, veuillez-vous rendre au : </w:t>
      </w:r>
      <w:hyperlink r:id="rId10" w:history="1">
        <w:r w:rsidR="00B8142F" w:rsidRPr="00C93851">
          <w:rPr>
            <w:rStyle w:val="Hyperlink"/>
            <w:sz w:val="23"/>
            <w:szCs w:val="23"/>
            <w:lang w:val="fr-CA"/>
          </w:rPr>
          <w:t>www.pei2015.crrf.ca/call-for-ppt/</w:t>
        </w:r>
      </w:hyperlink>
      <w:r w:rsidR="009F3056" w:rsidRPr="00C93851">
        <w:rPr>
          <w:rStyle w:val="Hyperlink"/>
          <w:sz w:val="23"/>
          <w:szCs w:val="23"/>
          <w:lang w:val="fr-CA"/>
        </w:rPr>
        <w:t>.</w:t>
      </w:r>
    </w:p>
    <w:p w14:paraId="075E1FC9" w14:textId="1C41D6DB" w:rsidR="009F3056" w:rsidRPr="00C93851" w:rsidRDefault="009F3056" w:rsidP="00430687">
      <w:pPr>
        <w:spacing w:after="200"/>
        <w:rPr>
          <w:sz w:val="23"/>
          <w:szCs w:val="23"/>
          <w:lang w:val="fr-CA"/>
        </w:rPr>
      </w:pPr>
      <w:r w:rsidRPr="00C93851">
        <w:rPr>
          <w:sz w:val="23"/>
          <w:szCs w:val="23"/>
          <w:lang w:val="fr-CA"/>
        </w:rPr>
        <w:t xml:space="preserve">La conférence va être co-présentée par la Fondation Canadienne pour la Revitalisation Rurale, </w:t>
      </w:r>
      <w:r w:rsidR="0024497C" w:rsidRPr="00C93851">
        <w:rPr>
          <w:sz w:val="23"/>
          <w:szCs w:val="23"/>
          <w:lang w:val="fr-CA"/>
        </w:rPr>
        <w:t xml:space="preserve">« Institute of Island </w:t>
      </w:r>
      <w:proofErr w:type="spellStart"/>
      <w:r w:rsidR="0024497C" w:rsidRPr="00C93851">
        <w:rPr>
          <w:sz w:val="23"/>
          <w:szCs w:val="23"/>
          <w:lang w:val="fr-CA"/>
        </w:rPr>
        <w:t>Studies</w:t>
      </w:r>
      <w:proofErr w:type="spellEnd"/>
      <w:r w:rsidR="0024497C" w:rsidRPr="00C93851">
        <w:rPr>
          <w:sz w:val="23"/>
          <w:szCs w:val="23"/>
          <w:lang w:val="fr-CA"/>
        </w:rPr>
        <w:t xml:space="preserve"> » à l’Université de l’Île-du-Prince-Édouard, </w:t>
      </w:r>
      <w:r w:rsidR="00973A94" w:rsidRPr="00C93851">
        <w:rPr>
          <w:sz w:val="23"/>
          <w:szCs w:val="23"/>
          <w:lang w:val="fr-CA"/>
        </w:rPr>
        <w:t>et le « </w:t>
      </w:r>
      <w:proofErr w:type="spellStart"/>
      <w:r w:rsidR="00973A94" w:rsidRPr="00C93851">
        <w:rPr>
          <w:sz w:val="23"/>
          <w:szCs w:val="23"/>
          <w:lang w:val="fr-CA"/>
        </w:rPr>
        <w:t>North</w:t>
      </w:r>
      <w:proofErr w:type="spellEnd"/>
      <w:r w:rsidR="00973A94" w:rsidRPr="00C93851">
        <w:rPr>
          <w:sz w:val="23"/>
          <w:szCs w:val="23"/>
          <w:lang w:val="fr-CA"/>
        </w:rPr>
        <w:t xml:space="preserve"> Atlantic Forum ». </w:t>
      </w:r>
      <w:r w:rsidR="00C077E5" w:rsidRPr="00C93851">
        <w:rPr>
          <w:sz w:val="23"/>
          <w:szCs w:val="23"/>
          <w:lang w:val="fr-CA"/>
        </w:rPr>
        <w:t>Les inscriptions pour la conférence est maintenant ouverte, inscrivez-vous avant le 30 juin 2015 pour profiter du tarif d’inscription hâtive!</w:t>
      </w:r>
    </w:p>
    <w:sectPr w:rsidR="009F3056" w:rsidRPr="00C93851" w:rsidSect="00716095">
      <w:footerReference w:type="default" r:id="rId11"/>
      <w:pgSz w:w="15840" w:h="12240" w:orient="landscape"/>
      <w:pgMar w:top="1531" w:right="1134" w:bottom="1531" w:left="1134"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F3BC8" w14:textId="77777777" w:rsidR="004A31B0" w:rsidRDefault="004A31B0" w:rsidP="00C93851">
      <w:r>
        <w:separator/>
      </w:r>
    </w:p>
  </w:endnote>
  <w:endnote w:type="continuationSeparator" w:id="0">
    <w:p w14:paraId="66786A99" w14:textId="77777777" w:rsidR="004A31B0" w:rsidRDefault="004A31B0" w:rsidP="00C9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3447"/>
      <w:gridCol w:w="3447"/>
      <w:gridCol w:w="3447"/>
    </w:tblGrid>
    <w:tr w:rsidR="00C93851" w14:paraId="364A2ABB" w14:textId="77777777" w:rsidTr="00C93851">
      <w:tc>
        <w:tcPr>
          <w:tcW w:w="3447" w:type="dxa"/>
        </w:tcPr>
        <w:p w14:paraId="034AB122" w14:textId="5EBFF0B1" w:rsidR="00C93851" w:rsidRDefault="00C93851" w:rsidP="00C93851">
          <w:pPr>
            <w:pStyle w:val="Footer"/>
            <w:jc w:val="center"/>
            <w:rPr>
              <w:noProof/>
              <w:lang w:val="en-US"/>
            </w:rPr>
          </w:pPr>
          <w:r>
            <w:rPr>
              <w:noProof/>
              <w:lang w:eastAsia="en-CA"/>
            </w:rPr>
            <w:drawing>
              <wp:inline distT="0" distB="0" distL="0" distR="0" wp14:anchorId="0481A041" wp14:editId="7BED8AF1">
                <wp:extent cx="580418" cy="576000"/>
                <wp:effectExtent l="0" t="0" r="3810" b="8255"/>
                <wp:docPr id="4" name="Picture 4" descr="Macintosh HD:Users:s6784015:Desktop:IIS-stained-glass.300px-wide-e1419861801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6784015:Desktop:IIS-stained-glass.300px-wide-e141986180164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418" cy="576000"/>
                        </a:xfrm>
                        <a:prstGeom prst="rect">
                          <a:avLst/>
                        </a:prstGeom>
                        <a:noFill/>
                        <a:ln>
                          <a:noFill/>
                        </a:ln>
                      </pic:spPr>
                    </pic:pic>
                  </a:graphicData>
                </a:graphic>
              </wp:inline>
            </w:drawing>
          </w:r>
        </w:p>
      </w:tc>
      <w:tc>
        <w:tcPr>
          <w:tcW w:w="3447" w:type="dxa"/>
        </w:tcPr>
        <w:p w14:paraId="637A0B0A" w14:textId="71F4337C" w:rsidR="00C93851" w:rsidRDefault="00C93851" w:rsidP="00C93851">
          <w:pPr>
            <w:pStyle w:val="Footer"/>
            <w:jc w:val="center"/>
            <w:rPr>
              <w:noProof/>
              <w:lang w:val="en-US"/>
            </w:rPr>
          </w:pPr>
          <w:r>
            <w:rPr>
              <w:noProof/>
              <w:lang w:eastAsia="en-CA"/>
            </w:rPr>
            <w:drawing>
              <wp:inline distT="0" distB="0" distL="0" distR="0" wp14:anchorId="406820AC" wp14:editId="75BA2D70">
                <wp:extent cx="864000" cy="581283"/>
                <wp:effectExtent l="0" t="0" r="0" b="3175"/>
                <wp:docPr id="3" name="Picture 3" descr="Macintosh HD:Users:s6784015:Desktop:crrf-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6784015:Desktop:crrf-logo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4000" cy="581283"/>
                        </a:xfrm>
                        <a:prstGeom prst="rect">
                          <a:avLst/>
                        </a:prstGeom>
                        <a:noFill/>
                        <a:ln>
                          <a:noFill/>
                        </a:ln>
                      </pic:spPr>
                    </pic:pic>
                  </a:graphicData>
                </a:graphic>
              </wp:inline>
            </w:drawing>
          </w:r>
        </w:p>
      </w:tc>
      <w:tc>
        <w:tcPr>
          <w:tcW w:w="3447" w:type="dxa"/>
        </w:tcPr>
        <w:p w14:paraId="5C06667C" w14:textId="31AB44AD" w:rsidR="00C93851" w:rsidRDefault="00C93851" w:rsidP="00C93851">
          <w:pPr>
            <w:pStyle w:val="Footer"/>
            <w:jc w:val="center"/>
            <w:rPr>
              <w:noProof/>
              <w:lang w:val="en-US"/>
            </w:rPr>
          </w:pPr>
          <w:r>
            <w:rPr>
              <w:noProof/>
              <w:lang w:eastAsia="en-CA"/>
            </w:rPr>
            <w:drawing>
              <wp:inline distT="0" distB="0" distL="0" distR="0" wp14:anchorId="12766C87" wp14:editId="642E3C0D">
                <wp:extent cx="572897" cy="572897"/>
                <wp:effectExtent l="0" t="0" r="11430" b="11430"/>
                <wp:docPr id="2" name="Picture 2" descr="Macintosh HD:Users:s6784015:Desktop:stained-glass-image-300x300-e141986187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6784015:Desktop:stained-glass-image-300x300-e1419861871500.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2897" cy="572897"/>
                        </a:xfrm>
                        <a:prstGeom prst="rect">
                          <a:avLst/>
                        </a:prstGeom>
                        <a:noFill/>
                        <a:ln>
                          <a:noFill/>
                        </a:ln>
                      </pic:spPr>
                    </pic:pic>
                  </a:graphicData>
                </a:graphic>
              </wp:inline>
            </w:drawing>
          </w:r>
        </w:p>
      </w:tc>
      <w:tc>
        <w:tcPr>
          <w:tcW w:w="3447" w:type="dxa"/>
        </w:tcPr>
        <w:p w14:paraId="7C968A72" w14:textId="0AF1E361" w:rsidR="00C93851" w:rsidRDefault="00C93851" w:rsidP="00C93851">
          <w:pPr>
            <w:pStyle w:val="Footer"/>
            <w:jc w:val="center"/>
            <w:rPr>
              <w:noProof/>
              <w:lang w:val="en-US"/>
            </w:rPr>
          </w:pPr>
          <w:r>
            <w:rPr>
              <w:noProof/>
              <w:lang w:eastAsia="en-CA"/>
            </w:rPr>
            <w:drawing>
              <wp:inline distT="0" distB="0" distL="0" distR="0" wp14:anchorId="7CACC552" wp14:editId="0B1AC6C4">
                <wp:extent cx="1321943" cy="517650"/>
                <wp:effectExtent l="0" t="0" r="0" b="0"/>
                <wp:docPr id="1" name="Picture 1" descr="Macintosh HD:Users:s6784015:Desktop:upei_logo_colou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6784015:Desktop:upei_logo_colour_we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1943" cy="517650"/>
                        </a:xfrm>
                        <a:prstGeom prst="rect">
                          <a:avLst/>
                        </a:prstGeom>
                        <a:noFill/>
                        <a:ln>
                          <a:noFill/>
                        </a:ln>
                      </pic:spPr>
                    </pic:pic>
                  </a:graphicData>
                </a:graphic>
              </wp:inline>
            </w:drawing>
          </w:r>
        </w:p>
      </w:tc>
    </w:tr>
  </w:tbl>
  <w:p w14:paraId="73123A0C" w14:textId="1D47F6F1" w:rsidR="00C93851" w:rsidRDefault="00C93851" w:rsidP="00C93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B80D0" w14:textId="77777777" w:rsidR="004A31B0" w:rsidRDefault="004A31B0" w:rsidP="00C93851">
      <w:r>
        <w:separator/>
      </w:r>
    </w:p>
  </w:footnote>
  <w:footnote w:type="continuationSeparator" w:id="0">
    <w:p w14:paraId="4673BBA9" w14:textId="77777777" w:rsidR="004A31B0" w:rsidRDefault="004A31B0" w:rsidP="00C938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doNotDisplayPageBoundaries/>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87"/>
    <w:rsid w:val="000B459A"/>
    <w:rsid w:val="000C5923"/>
    <w:rsid w:val="000F03C5"/>
    <w:rsid w:val="00210245"/>
    <w:rsid w:val="0024497C"/>
    <w:rsid w:val="00262AEA"/>
    <w:rsid w:val="002735E9"/>
    <w:rsid w:val="003262D7"/>
    <w:rsid w:val="00430687"/>
    <w:rsid w:val="004965B8"/>
    <w:rsid w:val="004A31B0"/>
    <w:rsid w:val="00501876"/>
    <w:rsid w:val="005723EC"/>
    <w:rsid w:val="005A19DB"/>
    <w:rsid w:val="005F55DD"/>
    <w:rsid w:val="006B28BF"/>
    <w:rsid w:val="006E4D55"/>
    <w:rsid w:val="006F3417"/>
    <w:rsid w:val="00716095"/>
    <w:rsid w:val="008C734F"/>
    <w:rsid w:val="00915A3E"/>
    <w:rsid w:val="009542A1"/>
    <w:rsid w:val="00973A94"/>
    <w:rsid w:val="009907D5"/>
    <w:rsid w:val="009940C5"/>
    <w:rsid w:val="009E466A"/>
    <w:rsid w:val="009F3056"/>
    <w:rsid w:val="00A67415"/>
    <w:rsid w:val="00AD5061"/>
    <w:rsid w:val="00B64FE1"/>
    <w:rsid w:val="00B8142F"/>
    <w:rsid w:val="00BC22F3"/>
    <w:rsid w:val="00BF6A34"/>
    <w:rsid w:val="00C077E5"/>
    <w:rsid w:val="00C17A71"/>
    <w:rsid w:val="00C6729E"/>
    <w:rsid w:val="00C73020"/>
    <w:rsid w:val="00C93851"/>
    <w:rsid w:val="00D14732"/>
    <w:rsid w:val="00E675D4"/>
    <w:rsid w:val="00EA1CAB"/>
    <w:rsid w:val="00F504B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3E0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5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59A"/>
    <w:rPr>
      <w:rFonts w:ascii="Lucida Grande" w:hAnsi="Lucida Grande" w:cs="Lucida Grande"/>
      <w:sz w:val="18"/>
      <w:szCs w:val="18"/>
    </w:rPr>
  </w:style>
  <w:style w:type="character" w:styleId="Hyperlink">
    <w:name w:val="Hyperlink"/>
    <w:basedOn w:val="DefaultParagraphFont"/>
    <w:uiPriority w:val="99"/>
    <w:unhideWhenUsed/>
    <w:rsid w:val="00430687"/>
    <w:rPr>
      <w:color w:val="0000FF" w:themeColor="hyperlink"/>
      <w:u w:val="single"/>
    </w:rPr>
  </w:style>
  <w:style w:type="paragraph" w:styleId="Header">
    <w:name w:val="header"/>
    <w:basedOn w:val="Normal"/>
    <w:link w:val="HeaderChar"/>
    <w:uiPriority w:val="99"/>
    <w:unhideWhenUsed/>
    <w:rsid w:val="00C93851"/>
    <w:pPr>
      <w:tabs>
        <w:tab w:val="center" w:pos="4320"/>
        <w:tab w:val="right" w:pos="8640"/>
      </w:tabs>
    </w:pPr>
  </w:style>
  <w:style w:type="character" w:customStyle="1" w:styleId="HeaderChar">
    <w:name w:val="Header Char"/>
    <w:basedOn w:val="DefaultParagraphFont"/>
    <w:link w:val="Header"/>
    <w:uiPriority w:val="99"/>
    <w:rsid w:val="00C93851"/>
  </w:style>
  <w:style w:type="paragraph" w:styleId="Footer">
    <w:name w:val="footer"/>
    <w:basedOn w:val="Normal"/>
    <w:link w:val="FooterChar"/>
    <w:uiPriority w:val="99"/>
    <w:unhideWhenUsed/>
    <w:rsid w:val="00C93851"/>
    <w:pPr>
      <w:tabs>
        <w:tab w:val="center" w:pos="4320"/>
        <w:tab w:val="right" w:pos="8640"/>
      </w:tabs>
    </w:pPr>
  </w:style>
  <w:style w:type="character" w:customStyle="1" w:styleId="FooterChar">
    <w:name w:val="Footer Char"/>
    <w:basedOn w:val="DefaultParagraphFont"/>
    <w:link w:val="Footer"/>
    <w:uiPriority w:val="99"/>
    <w:rsid w:val="00C93851"/>
  </w:style>
  <w:style w:type="table" w:styleId="TableGrid">
    <w:name w:val="Table Grid"/>
    <w:basedOn w:val="TableNormal"/>
    <w:uiPriority w:val="59"/>
    <w:rsid w:val="00C9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5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59A"/>
    <w:rPr>
      <w:rFonts w:ascii="Lucida Grande" w:hAnsi="Lucida Grande" w:cs="Lucida Grande"/>
      <w:sz w:val="18"/>
      <w:szCs w:val="18"/>
    </w:rPr>
  </w:style>
  <w:style w:type="character" w:styleId="Hyperlink">
    <w:name w:val="Hyperlink"/>
    <w:basedOn w:val="DefaultParagraphFont"/>
    <w:uiPriority w:val="99"/>
    <w:unhideWhenUsed/>
    <w:rsid w:val="00430687"/>
    <w:rPr>
      <w:color w:val="0000FF" w:themeColor="hyperlink"/>
      <w:u w:val="single"/>
    </w:rPr>
  </w:style>
  <w:style w:type="paragraph" w:styleId="Header">
    <w:name w:val="header"/>
    <w:basedOn w:val="Normal"/>
    <w:link w:val="HeaderChar"/>
    <w:uiPriority w:val="99"/>
    <w:unhideWhenUsed/>
    <w:rsid w:val="00C93851"/>
    <w:pPr>
      <w:tabs>
        <w:tab w:val="center" w:pos="4320"/>
        <w:tab w:val="right" w:pos="8640"/>
      </w:tabs>
    </w:pPr>
  </w:style>
  <w:style w:type="character" w:customStyle="1" w:styleId="HeaderChar">
    <w:name w:val="Header Char"/>
    <w:basedOn w:val="DefaultParagraphFont"/>
    <w:link w:val="Header"/>
    <w:uiPriority w:val="99"/>
    <w:rsid w:val="00C93851"/>
  </w:style>
  <w:style w:type="paragraph" w:styleId="Footer">
    <w:name w:val="footer"/>
    <w:basedOn w:val="Normal"/>
    <w:link w:val="FooterChar"/>
    <w:uiPriority w:val="99"/>
    <w:unhideWhenUsed/>
    <w:rsid w:val="00C93851"/>
    <w:pPr>
      <w:tabs>
        <w:tab w:val="center" w:pos="4320"/>
        <w:tab w:val="right" w:pos="8640"/>
      </w:tabs>
    </w:pPr>
  </w:style>
  <w:style w:type="character" w:customStyle="1" w:styleId="FooterChar">
    <w:name w:val="Footer Char"/>
    <w:basedOn w:val="DefaultParagraphFont"/>
    <w:link w:val="Footer"/>
    <w:uiPriority w:val="99"/>
    <w:rsid w:val="00C93851"/>
  </w:style>
  <w:style w:type="table" w:styleId="TableGrid">
    <w:name w:val="Table Grid"/>
    <w:basedOn w:val="TableNormal"/>
    <w:uiPriority w:val="59"/>
    <w:rsid w:val="00C9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i2015.crrf.ca/call-for-p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i2015.crrf.c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ei2015.crrf.ca/call-for-ppt/" TargetMode="External"/><Relationship Id="rId4" Type="http://schemas.openxmlformats.org/officeDocument/2006/relationships/webSettings" Target="webSettings.xml"/><Relationship Id="rId9" Type="http://schemas.openxmlformats.org/officeDocument/2006/relationships/hyperlink" Target="http://www.pei2015.crrf.ca"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Gibson</dc:creator>
  <cp:lastModifiedBy>Ray</cp:lastModifiedBy>
  <cp:revision>2</cp:revision>
  <dcterms:created xsi:type="dcterms:W3CDTF">2015-04-02T02:27:00Z</dcterms:created>
  <dcterms:modified xsi:type="dcterms:W3CDTF">2015-04-02T02:27:00Z</dcterms:modified>
</cp:coreProperties>
</file>